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both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附件四</w:t>
      </w:r>
    </w:p>
    <w:p>
      <w:pPr>
        <w:adjustRightInd w:val="0"/>
        <w:snapToGrid w:val="0"/>
        <w:jc w:val="center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中国石油大学（北京）</w:t>
      </w:r>
    </w:p>
    <w:p>
      <w:pPr>
        <w:adjustRightInd w:val="0"/>
        <w:snapToGrid w:val="0"/>
        <w:jc w:val="center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  <w:u w:val="single"/>
        </w:rPr>
        <w:t xml:space="preserve"> </w:t>
      </w:r>
      <w:r>
        <w:rPr>
          <w:rFonts w:ascii="仿宋" w:hAnsi="仿宋" w:eastAsia="仿宋" w:cs="仿宋"/>
          <w:b/>
          <w:color w:val="000000"/>
          <w:sz w:val="30"/>
          <w:szCs w:val="30"/>
          <w:u w:val="single"/>
        </w:rPr>
        <w:t>202</w:t>
      </w:r>
      <w:r>
        <w:rPr>
          <w:rFonts w:hint="eastAsia" w:ascii="仿宋" w:hAnsi="仿宋" w:eastAsia="仿宋" w:cs="仿宋"/>
          <w:b/>
          <w:color w:val="000000"/>
          <w:sz w:val="30"/>
          <w:szCs w:val="30"/>
          <w:u w:val="single"/>
          <w:lang w:val="en-US" w:eastAsia="zh-CN"/>
        </w:rPr>
        <w:t>4</w:t>
      </w:r>
      <w:r>
        <w:rPr>
          <w:rFonts w:ascii="仿宋" w:hAnsi="仿宋" w:eastAsia="仿宋" w:cs="仿宋"/>
          <w:b/>
          <w:color w:val="000000"/>
          <w:sz w:val="30"/>
          <w:szCs w:val="30"/>
          <w:u w:val="single"/>
        </w:rPr>
        <w:t xml:space="preserve"> </w:t>
      </w:r>
      <w:r>
        <w:rPr>
          <w:rFonts w:ascii="仿宋" w:hAnsi="仿宋" w:eastAsia="仿宋" w:cs="仿宋"/>
          <w:b/>
          <w:color w:val="000000"/>
          <w:sz w:val="30"/>
          <w:szCs w:val="30"/>
        </w:rPr>
        <w:t>年</w:t>
      </w:r>
      <w:bookmarkStart w:id="0" w:name="_Hlk67043835"/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硕士研究生复试资格审查</w:t>
      </w:r>
      <w:bookmarkEnd w:id="0"/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表</w:t>
      </w:r>
    </w:p>
    <w:p>
      <w:pPr>
        <w:jc w:val="center"/>
        <w:rPr>
          <w:rFonts w:cs="Times New Roman"/>
          <w:color w:val="000000"/>
          <w:sz w:val="28"/>
          <w:szCs w:val="36"/>
        </w:rPr>
      </w:pPr>
    </w:p>
    <w:p>
      <w:pPr>
        <w:jc w:val="center"/>
        <w:rPr>
          <w:rFonts w:cs="Times New Roman"/>
          <w:color w:val="000000"/>
          <w:sz w:val="28"/>
          <w:szCs w:val="36"/>
        </w:rPr>
      </w:pPr>
    </w:p>
    <w:p>
      <w:pPr>
        <w:adjustRightInd w:val="0"/>
        <w:snapToGrid w:val="0"/>
        <w:spacing w:after="156" w:afterLines="50" w:line="360" w:lineRule="auto"/>
        <w:jc w:val="left"/>
        <w:rPr>
          <w:rFonts w:ascii="仿宋" w:hAnsi="仿宋" w:eastAsia="仿宋" w:cs="仿宋"/>
          <w:color w:val="000000"/>
          <w:sz w:val="24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考生姓名：</w:t>
      </w:r>
      <w:bookmarkStart w:id="1" w:name="_Hlk67044741"/>
      <w:r>
        <w:rPr>
          <w:rFonts w:hint="eastAsia" w:ascii="仿宋" w:hAnsi="仿宋" w:eastAsia="仿宋" w:cs="仿宋"/>
          <w:color w:val="000000"/>
          <w:sz w:val="24"/>
          <w:szCs w:val="32"/>
          <w:u w:val="single"/>
        </w:rPr>
        <w:t xml:space="preserve">     </w:t>
      </w:r>
      <w:r>
        <w:rPr>
          <w:rFonts w:ascii="仿宋" w:hAnsi="仿宋" w:eastAsia="仿宋" w:cs="仿宋"/>
          <w:color w:val="000000"/>
          <w:sz w:val="24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  <w:szCs w:val="32"/>
          <w:u w:val="single"/>
        </w:rPr>
        <w:t xml:space="preserve">       </w:t>
      </w:r>
      <w:bookmarkEnd w:id="1"/>
      <w:r>
        <w:rPr>
          <w:rFonts w:hint="eastAsia" w:ascii="仿宋" w:hAnsi="仿宋" w:eastAsia="仿宋" w:cs="仿宋"/>
          <w:color w:val="000000"/>
          <w:sz w:val="24"/>
          <w:szCs w:val="32"/>
        </w:rPr>
        <w:t>考生编号：</w:t>
      </w:r>
      <w:r>
        <w:rPr>
          <w:rFonts w:ascii="仿宋" w:hAnsi="仿宋" w:eastAsia="仿宋" w:cs="仿宋"/>
          <w:color w:val="000000"/>
          <w:sz w:val="24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24"/>
          <w:szCs w:val="32"/>
          <w:u w:val="single"/>
        </w:rPr>
        <w:t xml:space="preserve">     </w:t>
      </w:r>
      <w:r>
        <w:rPr>
          <w:rFonts w:ascii="仿宋" w:hAnsi="仿宋" w:eastAsia="仿宋" w:cs="仿宋"/>
          <w:color w:val="000000"/>
          <w:sz w:val="24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  <w:szCs w:val="32"/>
          <w:u w:val="single"/>
        </w:rPr>
        <w:t xml:space="preserve">       </w:t>
      </w:r>
    </w:p>
    <w:p>
      <w:pPr>
        <w:adjustRightInd w:val="0"/>
        <w:snapToGrid w:val="0"/>
        <w:spacing w:after="156" w:afterLines="50" w:line="360" w:lineRule="auto"/>
        <w:jc w:val="left"/>
        <w:rPr>
          <w:rFonts w:ascii="仿宋" w:hAnsi="仿宋" w:eastAsia="仿宋" w:cs="仿宋"/>
          <w:color w:val="000000"/>
          <w:sz w:val="24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证件号码：</w:t>
      </w:r>
      <w:r>
        <w:rPr>
          <w:rFonts w:ascii="仿宋" w:hAnsi="仿宋" w:eastAsia="仿宋" w:cs="仿宋"/>
          <w:color w:val="000000"/>
          <w:sz w:val="24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：</w:t>
      </w:r>
      <w:r>
        <w:rPr>
          <w:rFonts w:hint="eastAsia" w:ascii="仿宋" w:hAnsi="仿宋" w:eastAsia="仿宋" w:cs="仿宋"/>
          <w:color w:val="000000"/>
          <w:sz w:val="24"/>
          <w:szCs w:val="32"/>
          <w:u w:val="single"/>
        </w:rPr>
        <w:t xml:space="preserve">      </w:t>
      </w:r>
      <w:r>
        <w:rPr>
          <w:rFonts w:ascii="仿宋" w:hAnsi="仿宋" w:eastAsia="仿宋" w:cs="仿宋"/>
          <w:color w:val="000000"/>
          <w:sz w:val="24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  <w:szCs w:val="32"/>
          <w:u w:val="single"/>
        </w:rPr>
        <w:t xml:space="preserve">            </w:t>
      </w:r>
      <w:r>
        <w:rPr>
          <w:rFonts w:ascii="仿宋" w:hAnsi="仿宋" w:eastAsia="仿宋" w:cs="仿宋"/>
          <w:color w:val="000000"/>
          <w:sz w:val="24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  <w:szCs w:val="32"/>
          <w:u w:val="single"/>
        </w:rPr>
        <w:t xml:space="preserve">                            </w:t>
      </w:r>
    </w:p>
    <w:p>
      <w:pPr>
        <w:adjustRightInd w:val="0"/>
        <w:snapToGrid w:val="0"/>
        <w:spacing w:after="156" w:afterLines="50" w:line="360" w:lineRule="auto"/>
        <w:jc w:val="left"/>
        <w:rPr>
          <w:rFonts w:ascii="仿宋" w:hAnsi="仿宋" w:eastAsia="仿宋" w:cs="仿宋"/>
          <w:b/>
          <w:bCs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32"/>
        </w:rPr>
        <w:t>审查清单（以下材料均需留存纸质版）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1.复试资格审查合格单（即本页内容）；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2</w:t>
      </w:r>
      <w:r>
        <w:rPr>
          <w:rFonts w:ascii="仿宋" w:hAnsi="仿宋" w:eastAsia="仿宋" w:cs="仿宋"/>
          <w:color w:val="000000"/>
          <w:sz w:val="24"/>
          <w:szCs w:val="32"/>
        </w:rPr>
        <w:t>.准考证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；</w:t>
      </w: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 w:cs="仿宋"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3</w:t>
      </w:r>
      <w:r>
        <w:rPr>
          <w:rFonts w:ascii="仿宋" w:hAnsi="仿宋" w:eastAsia="仿宋" w:cs="仿宋"/>
          <w:color w:val="000000"/>
          <w:sz w:val="24"/>
          <w:szCs w:val="32"/>
        </w:rPr>
        <w:t>.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本人有效居民身份证件（正反面）；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24"/>
          <w:szCs w:val="32"/>
        </w:rPr>
      </w:pPr>
      <w:r>
        <w:rPr>
          <w:rFonts w:ascii="仿宋" w:hAnsi="仿宋" w:eastAsia="仿宋" w:cs="仿宋"/>
          <w:color w:val="000000"/>
          <w:sz w:val="24"/>
          <w:szCs w:val="32"/>
        </w:rPr>
        <w:t>4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.加盖学校教务部门或档案所在管理部门公章的学习成绩单（有单位红章）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24"/>
          <w:szCs w:val="32"/>
        </w:rPr>
      </w:pPr>
      <w:r>
        <w:rPr>
          <w:rFonts w:ascii="仿宋" w:hAnsi="仿宋" w:eastAsia="仿宋" w:cs="仿宋"/>
          <w:color w:val="000000"/>
          <w:sz w:val="24"/>
          <w:szCs w:val="32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.学籍学历证明（往届生须提交有效期内的教育部学历证书电子注册备案表，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应届生须提交有效期内的教育部学籍电子注册备案表等）；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6</w:t>
      </w:r>
      <w:r>
        <w:rPr>
          <w:rFonts w:ascii="仿宋" w:hAnsi="仿宋" w:eastAsia="仿宋" w:cs="仿宋"/>
          <w:color w:val="000000"/>
          <w:sz w:val="24"/>
          <w:szCs w:val="32"/>
        </w:rPr>
        <w:t>.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研究生复试考生诚信承诺书签字版</w:t>
      </w: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 w:cs="仿宋"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7</w:t>
      </w:r>
      <w:r>
        <w:rPr>
          <w:rFonts w:ascii="仿宋" w:hAnsi="仿宋" w:eastAsia="仿宋" w:cs="仿宋"/>
          <w:color w:val="000000"/>
          <w:sz w:val="24"/>
          <w:szCs w:val="32"/>
        </w:rPr>
        <w:t>.</w:t>
      </w:r>
      <w:r>
        <w:rPr>
          <w:rFonts w:hint="eastAsia" w:ascii="仿宋" w:hAnsi="仿宋" w:eastAsia="仿宋" w:cs="仿宋"/>
          <w:color w:val="000000"/>
          <w:sz w:val="24"/>
          <w:szCs w:val="32"/>
        </w:rPr>
        <w:t>报考硕士研究生现实表现情况（有单位红章）</w:t>
      </w: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 w:cs="仿宋"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</w:rPr>
        <w:t>8.全日制专业学位硕士须提交：中国石油大学（北京）工程类硕士专业学位研究生专业实践告知确认书</w:t>
      </w: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 w:cs="仿宋"/>
          <w:color w:val="00000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32"/>
          <w:lang w:val="en-US" w:eastAsia="zh-CN"/>
        </w:rPr>
        <w:t>9.考生大学英语四级或六级成绩证明（如果有）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仿宋"/>
          <w:b/>
          <w:bCs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color w:val="000000"/>
          <w:sz w:val="24"/>
          <w:szCs w:val="32"/>
          <w:lang w:val="en-US" w:eastAsia="zh-CN"/>
        </w:rPr>
        <w:t>10.中国石油大学（北京）2024年硕士研究生复试资格审查表</w:t>
      </w:r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仿宋" w:hAnsi="仿宋" w:eastAsia="仿宋" w:cs="仿宋"/>
          <w:color w:val="000000"/>
          <w:sz w:val="24"/>
          <w:szCs w:val="32"/>
        </w:rPr>
      </w:pPr>
    </w:p>
    <w:p>
      <w:pPr>
        <w:adjustRightInd w:val="0"/>
        <w:snapToGrid w:val="0"/>
        <w:spacing w:before="156" w:beforeLines="50" w:line="360" w:lineRule="auto"/>
        <w:jc w:val="left"/>
        <w:rPr>
          <w:rFonts w:ascii="仿宋" w:hAnsi="仿宋" w:eastAsia="仿宋" w:cs="仿宋"/>
          <w:b/>
          <w:bCs/>
          <w:color w:val="000000"/>
          <w:sz w:val="24"/>
          <w:szCs w:val="32"/>
        </w:rPr>
      </w:pPr>
      <w:bookmarkStart w:id="2" w:name="_GoBack"/>
      <w:bookmarkEnd w:id="2"/>
      <w:r>
        <w:rPr>
          <w:rFonts w:hint="eastAsia" w:ascii="仿宋" w:hAnsi="仿宋" w:eastAsia="仿宋" w:cs="仿宋"/>
          <w:color w:val="000000"/>
          <w:sz w:val="24"/>
          <w:szCs w:val="32"/>
        </w:rPr>
        <w:t>远程视频复试基本情况记录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32"/>
        </w:rPr>
        <w:t>（仅远程视频复试填写）</w:t>
      </w:r>
    </w:p>
    <w:tbl>
      <w:tblPr>
        <w:tblStyle w:val="5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复试地点</w:t>
            </w:r>
          </w:p>
        </w:tc>
        <w:tc>
          <w:tcPr>
            <w:tcW w:w="4118" w:type="pct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□家里；□宿舍；□办公室；□其他场所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设备情况</w:t>
            </w:r>
          </w:p>
        </w:tc>
        <w:tc>
          <w:tcPr>
            <w:tcW w:w="4118" w:type="pct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□手机；□电脑；□两者皆有；□其他设备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pc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网络状况</w:t>
            </w:r>
          </w:p>
        </w:tc>
        <w:tc>
          <w:tcPr>
            <w:tcW w:w="4118" w:type="pct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□具备网络面试条件；□其他情况</w:t>
            </w:r>
            <w:r>
              <w:rPr>
                <w:rFonts w:ascii="仿宋" w:hAnsi="仿宋" w:eastAsia="仿宋" w:cs="仿宋"/>
                <w:color w:val="000000"/>
                <w:sz w:val="24"/>
                <w:szCs w:val="32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</w:rPr>
              <w:t>：</w:t>
            </w:r>
            <w:r>
              <w:rPr>
                <w:rFonts w:ascii="仿宋" w:hAnsi="仿宋" w:eastAsia="仿宋" w:cs="仿宋"/>
                <w:color w:val="000000"/>
                <w:sz w:val="24"/>
                <w:szCs w:val="32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32"/>
                <w:u w:val="single"/>
              </w:rPr>
              <w:t xml:space="preserve">        </w:t>
            </w:r>
            <w:r>
              <w:rPr>
                <w:rFonts w:ascii="仿宋" w:hAnsi="仿宋" w:eastAsia="仿宋" w:cs="仿宋"/>
                <w:color w:val="000000"/>
                <w:sz w:val="24"/>
                <w:szCs w:val="32"/>
              </w:rPr>
              <w:t xml:space="preserve">      </w:t>
            </w:r>
          </w:p>
        </w:tc>
      </w:tr>
    </w:tbl>
    <w:p>
      <w:pPr>
        <w:adjustRightInd w:val="0"/>
        <w:snapToGrid w:val="0"/>
        <w:spacing w:before="156" w:beforeLines="50" w:line="360" w:lineRule="auto"/>
        <w:jc w:val="left"/>
        <w:rPr>
          <w:rFonts w:ascii="仿宋" w:hAnsi="仿宋" w:eastAsia="仿宋" w:cs="仿宋"/>
          <w:b/>
          <w:bCs/>
          <w:color w:val="000000"/>
          <w:sz w:val="24"/>
          <w:szCs w:val="32"/>
        </w:rPr>
      </w:pPr>
    </w:p>
    <w:p>
      <w:pPr>
        <w:adjustRightInd w:val="0"/>
        <w:snapToGrid w:val="0"/>
        <w:spacing w:before="156" w:beforeLines="50" w:line="360" w:lineRule="auto"/>
        <w:jc w:val="left"/>
        <w:rPr>
          <w:rFonts w:ascii="仿宋" w:hAnsi="仿宋" w:eastAsia="仿宋" w:cs="仿宋"/>
          <w:b/>
          <w:bCs/>
          <w:color w:val="000000"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32"/>
        </w:rPr>
        <w:t>缴费标记：（是、否）缴费</w:t>
      </w:r>
    </w:p>
    <w:p/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4ZjgwYTc3YjJjODEwMzczMzFjYjRlY2IxYjQzZGEifQ=="/>
  </w:docVars>
  <w:rsids>
    <w:rsidRoot w:val="00FE1DF9"/>
    <w:rsid w:val="00063B52"/>
    <w:rsid w:val="000F22E6"/>
    <w:rsid w:val="00171718"/>
    <w:rsid w:val="007E7876"/>
    <w:rsid w:val="00C51022"/>
    <w:rsid w:val="00D54D46"/>
    <w:rsid w:val="00F46DAA"/>
    <w:rsid w:val="00FE1DF9"/>
    <w:rsid w:val="169F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