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4" w:lineRule="atLeast"/>
        <w:jc w:val="both"/>
        <w:rPr>
          <w:rFonts w:ascii="仿宋_GB2312" w:hAnsi="Calibri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附件：《零容忍》专题片内容介绍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第1集 不负十四亿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2"/>
          <w:szCs w:val="32"/>
          <w:shd w:val="clear" w:color="auto" w:fill="FFFFFF"/>
        </w:rPr>
        <w:t>本集主要内容： 民心是最大的政治，人民群众最痛恨腐败，不得罪成百上千的腐败分子，就要得罪十四亿人民，这是一笔再明白不过的政治账、人心向背账。本集讲述了公安部原副部长孙力军政治团伙案、昆明医科大学第二附属医院原院长马林昆案、国家开发银行原党委书记胡怀邦案等典型案例，都彰显着反腐败无禁区、全覆盖、零容忍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第2集 打虎拍蝇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2"/>
          <w:szCs w:val="32"/>
          <w:shd w:val="clear" w:color="auto" w:fill="FFFFFF"/>
        </w:rPr>
        <w:t>本集主要内容： 推动全面从严治党向纵深发展，既要坚决查处不收敛不收手的领导干部，又要坚决整治群众身边的腐败问题和不正之风。本集通过贵州省政协原党组书记、主席王富玉案，甘肃省永登县民政局低保办原主任赵永琏侵害困难群众利益案，江苏仪征基层粮站贪腐案，反映各级纪检监察机关以零容忍态度惩治腐败，“老虎”“苍蝇”一起打，让人民群众感受到全面从严治党就在身边、正风肃纪反腐就在身边、纪检监察就在身边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第3集 惩前毖后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2"/>
          <w:szCs w:val="32"/>
          <w:shd w:val="clear" w:color="auto" w:fill="FFFFFF"/>
        </w:rPr>
        <w:t>本集主要内容： 惩前毖后、治病救人是我们党的一贯方针，本集通过中国科协原党组成员、书记处书记陈刚案，辽宁省政协原党组副书记、副主席刘国强案，北京师范大学党委原书记刘川生案，讲述纪检监察机关将惩前毖后、治病救人的理念，贯彻到纪检监察工作全过程，教育人、改造人、挽救人，实现查办案件的政治效果、纪法效果、社会效果相统一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第4集 系统施治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2"/>
          <w:szCs w:val="32"/>
          <w:shd w:val="clear" w:color="auto" w:fill="FFFFFF"/>
        </w:rPr>
        <w:t>本集主要内容：一体推进不敢腐、不能腐、不想腐，不仅是反腐败斗争的基本方针，也是新时代全面从严治党的重要方略。本集通过内蒙古多名中管干部涉煤腐败案、中信银行原行长孙德顺案等典型案件，反映了纪检监察机关以系统施治、标本兼治的理念正风肃纪反腐，一体推进不敢腐、不能腐、不想腐，做实以案为鉴、以案促改、以案促治，有效提高治理腐败综合效能。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b/>
          <w:bCs/>
          <w:sz w:val="32"/>
          <w:szCs w:val="32"/>
          <w:shd w:val="clear" w:color="auto" w:fill="FFFFFF"/>
        </w:rPr>
        <w:t>第5集 永远在路上</w:t>
      </w:r>
    </w:p>
    <w:p>
      <w:pPr>
        <w:pStyle w:val="2"/>
        <w:widowControl/>
        <w:shd w:val="clear" w:color="auto" w:fill="FFFFFF"/>
        <w:spacing w:beforeAutospacing="0" w:afterAutospacing="0" w:line="24" w:lineRule="atLeast"/>
        <w:ind w:firstLine="640"/>
        <w:jc w:val="both"/>
        <w:rPr>
          <w:rFonts w:ascii="仿宋_GB2312" w:hAnsi="Calibri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sz w:val="32"/>
          <w:szCs w:val="32"/>
          <w:shd w:val="clear" w:color="auto" w:fill="FFFFFF"/>
        </w:rPr>
        <w:t>本集主要内容：中国共产党的性质决定了党与腐败水火不容，坚决防治腐败是党自我革命必须长期抓好的重大政治任务。本集通过浙江省委原常委、杭州市委原书记周江勇案，安徽滁州市基层公职人员张雨杰贪污巨额公款案，海南省委原常委、海口市委原书记张琦案等典型案件，透视反腐败斗争的长期性、复杂性、艰巨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63EC6"/>
    <w:rsid w:val="16D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2022-02-28T03:22:00Z</dcterms:created>
  <dc:creator>Fan.</dc:creator>
  <cp:lastModifiedBy>Fan.</cp:lastModifiedBy>
  <dcterms:modified xsi:type="dcterms:W3CDTF">2022-02-28T03:22:50Z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747F530455554C0F96122E0B8E69929B</vt:lpwstr>
  </property>
</Properties>
</file>