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after="120" w:line="360" w:lineRule="auto"/>
        <w:ind w:right="420"/>
        <w:jc w:val="left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附件2：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eastAsia="zh-CN"/>
        </w:rPr>
        <w:t>参演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单位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eastAsia="zh-CN"/>
        </w:rPr>
        <w:t>分组及观众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</w:rPr>
        <w:t>人数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lang w:eastAsia="zh-CN"/>
        </w:rPr>
        <w:t>分配表</w:t>
      </w:r>
      <w:bookmarkStart w:id="0" w:name="_GoBack"/>
      <w:bookmarkEnd w:id="0"/>
    </w:p>
    <w:tbl>
      <w:tblPr>
        <w:tblStyle w:val="2"/>
        <w:tblW w:w="86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80"/>
        <w:gridCol w:w="2032"/>
        <w:gridCol w:w="1223"/>
        <w:gridCol w:w="1305"/>
        <w:gridCol w:w="121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4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甲组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4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84" w:lineRule="auto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在编职工人数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非在编职工人数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合计人数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观众人数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校机关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228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272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石油工程学院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127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158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地球科学学院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116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141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化学工程与环境学院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111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136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网络与继续教育学院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103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理学院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97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机械与储运工程学院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94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经济管理学院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94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乙组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在编职工人数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非在编职工人数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合计人数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观众人数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后勤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84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新能源与材料学院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78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地球物理学院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77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信息科学与工程学院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外国语学院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安全与海洋工程学院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59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非常规油气科学技术研究院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56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体育与人文艺术学院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42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图书馆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38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马克思主义学院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34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校产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34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34FD1"/>
    <w:rsid w:val="784F77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石油大学工会</cp:lastModifiedBy>
  <dcterms:modified xsi:type="dcterms:W3CDTF">2019-04-04T07:39:59Z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