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exact"/>
        <w:ind w:firstLine="1102" w:firstLineChars="392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/>
          <w:b/>
          <w:sz w:val="28"/>
          <w:szCs w:val="28"/>
        </w:rPr>
        <w:t>中国石油大学（北京）</w:t>
      </w:r>
      <w:r>
        <w:rPr>
          <w:rFonts w:hint="eastAsia" w:ascii="宋体" w:hAnsi="宋体" w:cs="宋体"/>
          <w:b/>
          <w:color w:val="000000"/>
          <w:kern w:val="0"/>
          <w:sz w:val="24"/>
        </w:rPr>
        <w:t>参加</w:t>
      </w:r>
      <w:r>
        <w:rPr>
          <w:rFonts w:hint="eastAsia" w:ascii="宋体" w:hAnsi="宋体"/>
          <w:b/>
          <w:color w:val="000000"/>
          <w:sz w:val="24"/>
        </w:rPr>
        <w:t>北京</w:t>
      </w:r>
      <w:r>
        <w:rPr>
          <w:rFonts w:hint="eastAsia" w:ascii="宋体" w:hAnsi="宋体" w:cs="宋体"/>
          <w:b/>
          <w:color w:val="000000"/>
          <w:kern w:val="0"/>
          <w:sz w:val="24"/>
        </w:rPr>
        <w:t>高校第十届青年教师教学</w:t>
      </w:r>
    </w:p>
    <w:p>
      <w:pPr>
        <w:ind w:firstLine="2836" w:firstLineChars="1177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基本功比赛选手选拨赛</w:t>
      </w:r>
      <w:r>
        <w:rPr>
          <w:rFonts w:hint="eastAsia" w:ascii="宋体" w:hAnsi="宋体"/>
          <w:b/>
          <w:sz w:val="28"/>
          <w:szCs w:val="28"/>
        </w:rPr>
        <w:t>评分细则</w:t>
      </w:r>
    </w:p>
    <w:p>
      <w:pPr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一、评委构成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比赛评委由学校专家组成，具体情况如下：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10名专家评委；</w:t>
      </w:r>
    </w:p>
    <w:p>
      <w:pPr>
        <w:adjustRightInd w:val="0"/>
        <w:snapToGrid w:val="0"/>
        <w:spacing w:line="560" w:lineRule="exact"/>
        <w:ind w:firstLine="482" w:firstLineChars="200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二、分</w:t>
      </w:r>
      <w:r>
        <w:rPr>
          <w:rFonts w:hint="eastAsia" w:ascii="宋体" w:hAnsi="宋体" w:cs="宋体"/>
          <w:b/>
          <w:color w:val="000000"/>
          <w:sz w:val="24"/>
        </w:rPr>
        <w:t>值设计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总分100分，教案占20%，现场教学演示占80%。即教案满分20分，由专家评委评审确定分数；现场教学演示80分，专家评委评价满分为80分。</w:t>
      </w:r>
      <w:r>
        <w:rPr>
          <w:rFonts w:hint="eastAsia" w:ascii="宋体" w:hAnsi="宋体"/>
          <w:sz w:val="24"/>
        </w:rPr>
        <w:t>为方便评委打分，评价表第一栏为总分合计，评委可以先打总分，然后在后续项目中进行扣分，并用减号表示，例如“-5”即为扣减5分。评委采取实名制，不回避本院系选手，得分中去掉最高、最低分然后求平均数，加总得出选手最终得分。</w:t>
      </w:r>
    </w:p>
    <w:p>
      <w:pPr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三、评价量表</w:t>
      </w:r>
    </w:p>
    <w:p>
      <w:pPr>
        <w:adjustRightInd w:val="0"/>
        <w:snapToGrid w:val="0"/>
        <w:spacing w:line="560" w:lineRule="exact"/>
        <w:ind w:firstLine="420" w:firstLineChars="175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评分要求：可以</w:t>
      </w:r>
      <w:r>
        <w:rPr>
          <w:rFonts w:hint="eastAsia" w:ascii="宋体" w:hAnsi="宋体"/>
          <w:sz w:val="24"/>
        </w:rPr>
        <w:t>给小数点后一位数字</w:t>
      </w:r>
      <w:r>
        <w:rPr>
          <w:rFonts w:hint="eastAsia" w:ascii="宋体" w:hAnsi="宋体"/>
          <w:color w:val="000000"/>
          <w:sz w:val="24"/>
        </w:rPr>
        <w:t>；表2及格分每项为6分、3分。</w:t>
      </w:r>
    </w:p>
    <w:p>
      <w:pPr>
        <w:tabs>
          <w:tab w:val="left" w:pos="720"/>
        </w:tabs>
        <w:spacing w:line="360" w:lineRule="auto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（1）教案评价表（占20%，量表满分20分）</w:t>
      </w:r>
    </w:p>
    <w:tbl>
      <w:tblPr>
        <w:tblStyle w:val="3"/>
        <w:tblW w:w="908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752"/>
        <w:gridCol w:w="1445"/>
        <w:gridCol w:w="1830"/>
        <w:gridCol w:w="1771"/>
        <w:gridCol w:w="16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评价标准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1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教学目的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教学内容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教学形式</w:t>
            </w:r>
          </w:p>
        </w:tc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教学手段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标准说明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教案综合评 价    </w:t>
            </w:r>
          </w:p>
        </w:tc>
        <w:tc>
          <w:tcPr>
            <w:tcW w:w="1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教学目标明确，符合课程大纲的要求，注重学生全面发展。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教学内容无科学性错误，内容的顺序安排符合专业学科逻辑，容量合适，理论联系实际，符合学生特点。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教学过程突出学生的主体性，教与学的活动有机结合，教学策略选择正确，注重调动学生的学习积极性。</w:t>
            </w:r>
          </w:p>
        </w:tc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正确选择使用各种教学媒体，充分考虑教学重点和难点，进行有针对性的分析与设计。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选手序号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20分</w:t>
            </w:r>
          </w:p>
        </w:tc>
        <w:tc>
          <w:tcPr>
            <w:tcW w:w="1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4分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6分</w:t>
            </w:r>
          </w:p>
        </w:tc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１号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360" w:firstLineChars="200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360" w:firstLineChars="200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360" w:firstLineChars="200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360" w:firstLineChars="200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360" w:firstLineChars="200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２号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360" w:firstLineChars="200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360" w:firstLineChars="200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360" w:firstLineChars="200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360" w:firstLineChars="200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360" w:firstLineChars="200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</w:tr>
    </w:tbl>
    <w:p>
      <w:pPr>
        <w:rPr>
          <w:rFonts w:ascii="宋体" w:hAnsi="宋体"/>
          <w:color w:val="000000"/>
          <w:sz w:val="18"/>
          <w:szCs w:val="18"/>
        </w:rPr>
      </w:pPr>
    </w:p>
    <w:p>
      <w:pPr>
        <w:rPr>
          <w:rFonts w:ascii="宋体" w:hAnsi="宋体"/>
          <w:color w:val="000000"/>
          <w:sz w:val="18"/>
          <w:szCs w:val="18"/>
        </w:rPr>
      </w:pPr>
    </w:p>
    <w:p>
      <w:pPr>
        <w:rPr>
          <w:rFonts w:ascii="宋体" w:hAnsi="宋体"/>
          <w:color w:val="000000"/>
          <w:sz w:val="18"/>
          <w:szCs w:val="18"/>
        </w:rPr>
      </w:pPr>
    </w:p>
    <w:p>
      <w:pPr>
        <w:rPr>
          <w:rFonts w:ascii="宋体" w:hAnsi="宋体"/>
          <w:color w:val="000000"/>
          <w:sz w:val="18"/>
          <w:szCs w:val="18"/>
        </w:rPr>
      </w:pPr>
    </w:p>
    <w:p>
      <w:pPr>
        <w:rPr>
          <w:rFonts w:ascii="宋体" w:hAnsi="宋体"/>
          <w:color w:val="000000"/>
          <w:sz w:val="18"/>
          <w:szCs w:val="18"/>
        </w:rPr>
      </w:pPr>
    </w:p>
    <w:p>
      <w:pPr>
        <w:rPr>
          <w:rFonts w:ascii="宋体" w:hAnsi="宋体"/>
          <w:color w:val="000000"/>
          <w:sz w:val="18"/>
          <w:szCs w:val="18"/>
        </w:rPr>
      </w:pPr>
    </w:p>
    <w:p>
      <w:pPr>
        <w:rPr>
          <w:rFonts w:ascii="宋体" w:hAnsi="宋体"/>
          <w:color w:val="000000"/>
          <w:sz w:val="18"/>
          <w:szCs w:val="18"/>
        </w:rPr>
      </w:pPr>
    </w:p>
    <w:p>
      <w:pPr>
        <w:rPr>
          <w:rFonts w:ascii="宋体" w:hAnsi="宋体"/>
          <w:color w:val="000000"/>
          <w:sz w:val="18"/>
          <w:szCs w:val="18"/>
        </w:rPr>
      </w:pPr>
    </w:p>
    <w:p>
      <w:pPr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（2）专家评价表（占80%，量表满分80分）</w:t>
      </w:r>
    </w:p>
    <w:tbl>
      <w:tblPr>
        <w:tblStyle w:val="3"/>
        <w:tblW w:w="912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60"/>
        <w:gridCol w:w="1074"/>
        <w:gridCol w:w="1048"/>
        <w:gridCol w:w="927"/>
        <w:gridCol w:w="989"/>
        <w:gridCol w:w="986"/>
        <w:gridCol w:w="1024"/>
        <w:gridCol w:w="10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1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演示</w:t>
            </w:r>
          </w:p>
        </w:tc>
        <w:tc>
          <w:tcPr>
            <w:tcW w:w="2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互动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评价标准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教学内容充实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表达清晰流畅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语言有感染力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演示有冲击力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设计有创造性</w:t>
            </w:r>
          </w:p>
        </w:tc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互动形式新颖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反馈点评到位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标准说明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选手各项表现的综合评价总分。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信息量饱满、科学严谨、有深度。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语言组织有层次、有重点、有变化。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口头语言和肢体语言富有表现力，仪态表情投入。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教学材料新颖，视觉效果强烈（包括板书或实物）。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演示制作富有创意，新奇独到。</w:t>
            </w:r>
          </w:p>
        </w:tc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课堂气氛活跃，活动多样化，参与形式新鲜。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激励学员参与，点评发人深思。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选手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满分80分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20分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１号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２号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</w:tr>
    </w:tbl>
    <w:p>
      <w:pPr>
        <w:widowControl/>
        <w:adjustRightInd w:val="0"/>
        <w:snapToGrid w:val="0"/>
        <w:spacing w:line="540" w:lineRule="exact"/>
        <w:rPr>
          <w:rFonts w:ascii="仿宋_GB2312" w:eastAsia="仿宋_GB2312" w:cs="宋体"/>
          <w:kern w:val="0"/>
          <w:sz w:val="32"/>
          <w:szCs w:val="32"/>
        </w:rPr>
      </w:pPr>
    </w:p>
    <w:p>
      <w:pPr>
        <w:jc w:val="right"/>
        <w:rPr>
          <w:rFonts w:ascii="仿宋_GB2312" w:hAnsi="宋体" w:eastAsia="仿宋_GB2312"/>
          <w:kern w:val="0"/>
          <w:sz w:val="32"/>
          <w:szCs w:val="32"/>
        </w:rPr>
      </w:pPr>
    </w:p>
    <w:p>
      <w:pPr>
        <w:jc w:val="right"/>
        <w:rPr>
          <w:rFonts w:ascii="仿宋_GB2312" w:hAnsi="宋体" w:eastAsia="仿宋_GB2312"/>
          <w:kern w:val="0"/>
          <w:sz w:val="32"/>
          <w:szCs w:val="32"/>
        </w:rPr>
      </w:pPr>
    </w:p>
    <w:p>
      <w:pPr>
        <w:ind w:right="480"/>
        <w:jc w:val="right"/>
        <w:rPr>
          <w:rFonts w:ascii="仿宋_GB2312" w:hAnsi="宋体" w:eastAsia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kern w:val="0"/>
          <w:sz w:val="32"/>
          <w:szCs w:val="32"/>
        </w:rPr>
        <w:t>中国石油大学（北京）</w:t>
      </w:r>
    </w:p>
    <w:p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2016.11.17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C06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ghLHZ</cp:lastModifiedBy>
  <dcterms:modified xsi:type="dcterms:W3CDTF">2016-11-10T01:41:30Z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